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</w:pPr>
      <w:bookmarkStart w:id="0" w:name="_Toc458159018"/>
      <w:r w:rsidRPr="00CA1611">
        <w:rPr>
          <w:rFonts w:ascii="Times New Roman" w:eastAsia="Microsoft YaHei" w:hAnsi="Times New Roman"/>
          <w:b/>
          <w:bCs/>
          <w:noProof/>
          <w:kern w:val="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3CB3062" wp14:editId="650BFF22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685800" cy="68580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u w:val="single"/>
          <w:lang w:eastAsia="zh-CN" w:bidi="hi-IN"/>
        </w:rPr>
        <w:t>ОСНОВНО  УЧИЛИЩЕ  “СВ. СВ. КИРИЛ И МЕТОДИЙ”</w:t>
      </w:r>
    </w:p>
    <w:p w:rsidR="00CA1611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с. Свирачи, общ., Ивайловград, обл. Хасково,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 xml:space="preserve">ул. ,,Армира” № 9, тел.0887726654, 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e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  <w:t>-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mail</w:t>
      </w: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ru-RU" w:eastAsia="zh-CN" w:bidi="hi-IN"/>
        </w:rPr>
        <w:t xml:space="preserve">: </w:t>
      </w:r>
      <w:hyperlink r:id="rId9" w:history="1"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ou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_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svirachi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@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abv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ru-RU" w:eastAsia="zh-CN" w:bidi="hi-IN"/>
          </w:rPr>
          <w:t>.</w:t>
        </w:r>
        <w:r w:rsidRPr="00002AAA">
          <w:rPr>
            <w:rStyle w:val="Hyperlink"/>
            <w:rFonts w:ascii="Times New Roman" w:eastAsia="Microsoft YaHei" w:hAnsi="Times New Roman"/>
            <w:b/>
            <w:bCs/>
            <w:kern w:val="1"/>
            <w:sz w:val="32"/>
            <w:szCs w:val="32"/>
            <w:lang w:val="en-US" w:eastAsia="zh-CN" w:bidi="hi-IN"/>
          </w:rPr>
          <w:t>bg</w:t>
        </w:r>
      </w:hyperlink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Утвърдил:</w:t>
      </w:r>
    </w:p>
    <w:p w:rsid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Директор:…………..</w:t>
      </w:r>
    </w:p>
    <w:p w:rsidR="009E575B" w:rsidRPr="00CA1611" w:rsidRDefault="00CA1611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</w: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ab/>
        <w:t>/Д. Иванова-Димова/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365B99" w:rsidRPr="00CA1611" w:rsidRDefault="00365B99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CA1611" w:rsidRPr="00CA1611" w:rsidRDefault="00CA1611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В ОУ „Св.св. Кирил и Методий“, с. Свирачи</w:t>
      </w:r>
    </w:p>
    <w:p w:rsidR="00CA1611" w:rsidRPr="00CA1611" w:rsidRDefault="005600D6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  <w:r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за учебната 2022/2023</w:t>
      </w:r>
      <w:r w:rsidR="00CA1611" w:rsidRPr="00CA1611"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  <w:t>г.</w:t>
      </w: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Pr="00CA1611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Default="009E575B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9E575B" w:rsidRPr="009E575B" w:rsidRDefault="009E575B" w:rsidP="00CA161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outlineLvl w:val="1"/>
        <w:rPr>
          <w:rFonts w:asciiTheme="minorHAnsi" w:eastAsia="Microsoft YaHei" w:hAnsiTheme="minorHAnsi" w:cs="Mangal"/>
          <w:b/>
          <w:bCs/>
          <w:kern w:val="1"/>
          <w:sz w:val="32"/>
          <w:szCs w:val="32"/>
          <w:lang w:eastAsia="zh-CN" w:bidi="hi-IN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365B99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365B9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365B9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365B99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266B43" w:rsidRPr="00365B99" w:rsidRDefault="00266B43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използване на иновативни методи на образование;</w:t>
      </w:r>
    </w:p>
    <w:p w:rsidR="00365B99" w:rsidRPr="00365B99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365B99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365B99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365B99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365B99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365B99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365B99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365B99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училището или на Националната агенция за професи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365B99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365B99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365B99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="00365B99"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365B99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365B99">
        <w:rPr>
          <w:rFonts w:ascii="Times New Roman" w:eastAsiaTheme="minorEastAsia" w:hAnsi="Times New Roman"/>
          <w:lang w:eastAsia="bg-BG"/>
        </w:rPr>
        <w:tab/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365B99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част от правилника за дейност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365B99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365B99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365B99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365B99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365B99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365B99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365B99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365B99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DC05BB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365B99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365B99" w:rsidRPr="00365B99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C05B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365B99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365B99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C05BB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DC05BB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365B99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б)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365B99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365B99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365B99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365B99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365B99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365B99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365B99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 w:rsidR="00DC05BB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365B99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</w:p>
    <w:p w:rsidR="009D2F0F" w:rsidRPr="00CC2401" w:rsidRDefault="009D2F0F" w:rsidP="006402D8">
      <w:pPr>
        <w:pStyle w:val="Heading3"/>
        <w:rPr>
          <w:rFonts w:hint="eastAsia"/>
        </w:rPr>
      </w:pPr>
    </w:p>
    <w:p w:rsidR="009D2F0F" w:rsidRPr="00CC2401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Приложение № 1</w:t>
      </w:r>
    </w:p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</w:p>
    <w:p w:rsidR="009D2F0F" w:rsidRPr="00CC2401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Критерии по области на оценяване и показатели за измерване на постигнатото 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6F73FE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по 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 на критериите по области на 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бр. 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Показатели за измерване </w:t>
            </w:r>
            <w:r w:rsidR="00E3700D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равнището на постигнатото качество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образование и</w:t>
            </w:r>
          </w:p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съдържанието 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Липсват начини и средства за разпространяване на информация, свързана с д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>ейността на училището, в т.ч.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 в сградата на училището, има статичен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Изготвят се и се издават информационни, рекламни и други видове табла, училищен вестник, рекламни материали и електронни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информационни средства в сградата на училището, поддържа се динамичен училищен сайт.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се многообразни начини и средства за публичност и популяризиране на предлаганото</w:t>
            </w:r>
            <w:r w:rsidR="0070796C">
              <w:rPr>
                <w:rFonts w:ascii="Times New Roman" w:eastAsiaTheme="minorEastAsia" w:hAnsi="Times New Roman"/>
                <w:lang w:eastAsia="bg-BG"/>
              </w:rPr>
              <w:t xml:space="preserve"> образование и съдържанието му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издаване на училищен вестник; училищно радио и/или телевизия; електронни информационни средства; брошури, рекламни материали и др.; поддържа се динамичен училищен сайт за учебната година с архивиране на предходните и опции за обучение и оценяване онлайн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2224D7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E3700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E3700D">
              <w:rPr>
                <w:rFonts w:ascii="Times New Roman" w:eastAsiaTheme="minorEastAsia" w:hAnsi="Times New Roman"/>
                <w:lang w:val="en-US" w:eastAsia="bg-BG"/>
              </w:rPr>
              <w:t>.</w:t>
            </w:r>
          </w:p>
          <w:p w:rsidR="006F73FE" w:rsidRPr="006F73FE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</w:t>
            </w:r>
            <w:r w:rsidR="00337AE7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асансьори; ресурсен кабинет.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др.) в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 работилници/лаборатории, но не по всички изучавани професии/ специалности; наличните са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морално и физически остаряла, често повреждаща се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1,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кабинети и учебни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работилници/лаборатории и по всички изучавани професии/специалности, оборудвани с работеща и използваща се в голяма част от реалния бизнес техника; поне една от учебните</w:t>
            </w:r>
          </w:p>
          <w:p w:rsidR="006F73FE" w:rsidRPr="006F73FE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работилници/лаборатории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е оборудвана със съвременна работеща техника, използвана от фирмите в бранша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5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Предлагане на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  <w:p w:rsidR="004A660F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рофесии</w:t>
            </w:r>
            <w:r>
              <w:rPr>
                <w:rFonts w:ascii="Times New Roman" w:eastAsiaTheme="minorEastAsia" w:hAnsi="Times New Roman"/>
                <w:lang w:eastAsia="bg-BG"/>
              </w:rPr>
              <w:t>/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специалности, изучавани в училището, които са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Една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е с приоритетно значение на регионалния пазар на труда</w:t>
            </w:r>
            <w:r w:rsidR="00DA0AE3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Две от 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 (три и повече) са с приоритетно значение на регионалния пазар на труда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 xml:space="preserve">. </w:t>
            </w:r>
            <w:r w:rsidRPr="006F73FE">
              <w:rPr>
                <w:rFonts w:ascii="Times New Roman" w:eastAsiaTheme="minorEastAsia" w:hAnsi="Times New Roman"/>
                <w:b/>
                <w:lang w:eastAsia="bg-BG"/>
              </w:rPr>
              <w:t>3,0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не е ефективно, налице са сигнали, не се използват възможностите на ИКТ; служителите, които го</w:t>
            </w:r>
          </w:p>
          <w:p w:rsidR="006F73FE" w:rsidRPr="006F73FE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съществяват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lang w:eastAsia="bg-BG"/>
              </w:rPr>
              <w:t>,0</w:t>
            </w: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 служителите, които го осъществяват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 полезни и лесни за изпо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лзване инструменти; използват се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различни форми на ИКТ; служителите са компетентни, вежливи, коректни, любезни и приветливи</w:t>
            </w:r>
            <w:r w:rsidR="006C617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337AE7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337AE7">
              <w:rPr>
                <w:rFonts w:ascii="Times New Roman" w:eastAsiaTheme="minorEastAsia" w:hAnsi="Times New Roman"/>
                <w:b/>
                <w:lang w:eastAsia="bg-BG"/>
              </w:rPr>
              <w:lastRenderedPageBreak/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само в една форма на обучение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две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осигурява възможност за образование и обучение в повече от три форми на обучение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 xml:space="preserve">пи спрямо общия брой обучавани – </w:t>
            </w:r>
          </w:p>
          <w:p w:rsidR="006F73FE" w:rsidRPr="006F73FE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 2%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 спрямо об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щия брой обучавани – </w:t>
            </w:r>
            <w:r w:rsidR="00AA261D">
              <w:rPr>
                <w:rFonts w:ascii="Times New Roman" w:eastAsiaTheme="minorEastAsia" w:hAnsi="Times New Roman"/>
                <w:lang w:eastAsia="bg-BG"/>
              </w:rPr>
              <w:t>от 2% до 5%.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1,0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дял на учениците от уязвими г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рупи спрямо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5% до 10%.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1,5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н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брой на учениците от уязвими гр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упи спрямо общия брой обучавани – над 10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FE111B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AA261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Times New Roman" w:eastAsiaTheme="minorEastAsia" w:hAnsi="Times New Roman"/>
                <w:b/>
                <w:lang w:eastAsia="bg-BG"/>
              </w:rPr>
            </w:pPr>
            <w:r w:rsidRPr="00AA261D">
              <w:rPr>
                <w:rFonts w:ascii="Times New Roman" w:eastAsiaTheme="minorEastAsia" w:hAnsi="Times New Roman"/>
                <w:b/>
                <w:lang w:eastAsia="bg-BG"/>
              </w:rPr>
              <w:t>2,0 т.</w:t>
            </w:r>
          </w:p>
        </w:tc>
      </w:tr>
      <w:tr w:rsidR="006F73FE" w:rsidRPr="006F73FE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професионално обучение 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придобиване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на професионални знания, умения и компетентности 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>от 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професионални знания, умен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ия и компетентности от учениците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 една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професия/специалност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придобиване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на професионални знания, умения и компетентности от учениците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по</w:t>
            </w:r>
            <w:r w:rsidR="002C3278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две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професионално обучение и </w:t>
            </w:r>
            <w:r w:rsidR="002C3278" w:rsidRPr="002C3278">
              <w:rPr>
                <w:rFonts w:ascii="Times New Roman" w:eastAsiaTheme="minorEastAsia" w:hAnsi="Times New Roman"/>
                <w:lang w:eastAsia="bg-BG"/>
              </w:rPr>
              <w:t>придобиване на професионални знания, умения и компетентности от учениците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по три и повече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професии/специалности</w:t>
            </w:r>
            <w:r w:rsidR="00A62A1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 професионална 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Функционираща вътрешна система за повишаване на качеството на образованието и обучението в 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разработена вътрешна система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 на качеството на образованието и обучението в училището и тя функционира епизодично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повишаване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 качеството, тя функционира и се отчитат резултати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ото и тя функционира ефективно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отчитат се резултати, на основание на които се правят анализи и изводи 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се формулират предложения до ръководството на училището за повишаване на качеството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но епизодично</w:t>
            </w:r>
            <w:r w:rsidR="00BF23A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създаден</w:t>
            </w:r>
            <w:r w:rsidR="00630689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50%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до 80% от показателите за измерване на постигнатото качество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6F73FE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проведено самооценяване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но не е изготвен доклад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доклад, но не са формулирани коригиращи мерки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Проведено е самооценяване, изготвен е доклад и са формулирани коригиращи мерки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информираните и 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консултираните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витие от общия брой обучавани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информирани и консултирани обучавани за кариерно развитие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и консултирани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те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за кариерно развитие обучавани не надвишават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3140F6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87292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учебните програми за производствена практика, ЗИП и СИП по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професионална подготовка, разработени с участието на представители на бизнеса, от общи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 xml:space="preserve">я брой на тези учебни програми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Няма учебни програми за производствена практика, ЗИП и СИП по професионална подготовка,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разработени с участието на представители на бизнеса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 25%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B63E8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Осигуреност на педагогическия персонал с квалификация, съответстваща на изискванията към обучаващите, определени в ДОС за придобиване на квалификация по 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Недостатъчна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="00057680">
              <w:rPr>
                <w:rFonts w:ascii="Times New Roman" w:eastAsiaTheme="minorEastAsia" w:hAnsi="Times New Roman"/>
                <w:lang w:eastAsia="bg-BG"/>
              </w:rPr>
              <w:t>до 50</w:t>
            </w:r>
            <w:bookmarkStart w:id="1" w:name="_GoBack"/>
            <w:bookmarkEnd w:id="1"/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Минимална осигуреност на педагогичес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51 до 75%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Средна осигурено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 xml:space="preserve">ст на педагогическия персонал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76 до 99%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Максимална осигурен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ост на педагогическия персонал –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осигурени условия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в процеса на обучение. Прилагат се интерактивни методи</w:t>
            </w:r>
            <w:r w:rsidR="008D53DA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6F73FE" w:rsidRPr="006F73FE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зване на мултимедия в над 40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 от всички кабинети.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 Докладвани са и са обсъдени на заседание на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едагогическия съвет,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на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Осигурени са условия за ползване на мултимедия и интернет в над 60% от всички кабинети; осигурени са интерактивни дъски. Осигурен е подходящ софтуер за професионално обучение. Прилагат се интерактивни методи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като: ситуационни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(симулация, ролеви игри, казуси и др.); опитни (проекти, експерименти); дискусионни (дебати, беседи, дискусии).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Докладвани са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 и са обсъдени на заседание на П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едагогическия съвет, 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 xml:space="preserve">на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методическо обединение</w:t>
            </w:r>
            <w:r w:rsidR="00B45765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учителите,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 участвали 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20%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21% до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допълнително 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различни 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обучение,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136B19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учители,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10%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11% до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30%</w:t>
            </w:r>
            <w:r w:rsidR="00136B19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учителите, участвали в допълнително обучение чрез мобилност в друга страна и/или на работно място в реална работна среда, от 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допълнително обучение чрез мобилност в друга страна и/или на работно място в реална работна среда</w:t>
            </w:r>
            <w:r w:rsidR="00044BB2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учители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4BB2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Няма договори 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6F73FE" w:rsidRPr="006F73FE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Учениците/курсистите,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ровели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обучение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работно място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реална работна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среда и/или в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условията на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мобилност в друга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страна, от общия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брой обучавани,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по учебен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план провеждат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>п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рактическо</w:t>
                  </w:r>
                </w:p>
              </w:tc>
            </w:tr>
            <w:tr w:rsidR="004A660F" w:rsidRPr="006F73FE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обучение – </w:t>
                  </w: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%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работодатели, практическите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 xml:space="preserve"> занятия се провеждат само в училището.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само за до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30%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 в училището или в учебна 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на стопанска организация,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а за производствената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>
                    <w:rPr>
                      <w:rFonts w:ascii="Times New Roman" w:eastAsiaTheme="minorEastAsia" w:hAnsi="Times New Roman"/>
                      <w:lang w:eastAsia="bg-BG"/>
                    </w:rPr>
                    <w:t xml:space="preserve">работна среда за 31% – 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70% от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lastRenderedPageBreak/>
                    <w:t>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провежда в училището, а за 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практика са осигурени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работни места в реална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работна среда за над 70%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от учениците/курсистите,</w:t>
                  </w:r>
                </w:p>
              </w:tc>
            </w:tr>
            <w:tr w:rsidR="004A660F" w:rsidRPr="006F73FE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6F73FE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/>
                      <w:lang w:eastAsia="bg-BG"/>
                    </w:rPr>
                  </w:pPr>
                  <w:r w:rsidRPr="006F73FE">
                    <w:rPr>
                      <w:rFonts w:ascii="Times New Roman" w:eastAsiaTheme="minorEastAsia" w:hAnsi="Times New Roman"/>
                      <w:lang w:eastAsia="bg-BG"/>
                    </w:rPr>
                    <w:t>които провеждат такава</w:t>
                  </w:r>
                  <w:r>
                    <w:rPr>
                      <w:rFonts w:ascii="Times New Roman" w:eastAsiaTheme="minorEastAsia" w:hAnsi="Times New Roman"/>
                      <w:lang w:eastAsia="bg-BG"/>
                    </w:rPr>
                    <w:t>.</w:t>
                  </w:r>
                </w:p>
              </w:tc>
            </w:tr>
          </w:tbl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отпадналите от училище към 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от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постъпилите в началото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обучението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 професионална квалификация лица от уязвимите групи към постъпилите в началото на обучението 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от тези групи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4A660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успешно положилите държавните изпити и/или изпитите по теория и по практика на професията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допуснатите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отзовават на поканите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 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и 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31% до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60% от изпитите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професии 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отказ (с писмо 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мълчалив отказ)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изпити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 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достатъчни умения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достатъчни умения 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 урока,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 планиране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планиране на урока,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урока и/или 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гъвкавост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разбират 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творчество и 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извършват промени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необходимостта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промени в плановете си,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извършват промени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да отговорят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 плановете си, за 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плановете си, за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 или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отговорят на образователните потребности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тделни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 ученици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образователните потребности на 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групи или 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или 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 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(изоставащи,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напреднали)</w:t>
            </w:r>
            <w:r w:rsidR="002224D7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Използване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използват разнообразни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разнообразни форми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форми за проверка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проверка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проверка на знанията,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н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учениците/курсистите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учениците/курсисти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имат точно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имат точно и ясно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критериите 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точно и 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ясно 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формулирани критерии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ф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 оценяване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 на знанията,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критерии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информираността на ученици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те за 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 компетентностите на 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ениците и теса запознати с тях.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и те са запознати с тях</w:t>
            </w:r>
            <w:r w:rsidR="007F150C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 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 от учителите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Ритмичност на 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учителите 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ритмично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р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ритмично 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постиженията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учениците 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съответствие с Наредбата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в съответствие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 оценяване,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за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Наредбата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 проверяват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оценяване,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прецизно писмените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проверяват 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отстраняват грешките,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работи, отстраняват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писмените работи,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оценяват ги и 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 ги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дейности за борба с тютюнопушенето, наркоманията, агресията и др., подпомага социално слаби ученици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нтерес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6F73FE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lastRenderedPageBreak/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професии/специалности; наличните са оборудвани с морално и физически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 ,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професии/специалности, оборудвани с работеща и използваща се в голяма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работилници/лаборатории по всички изучавани професии/специалности, оборудвани с работеща и използваща се в голяма част от реалния бизнес техника; поне една от учебните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професии (кабинети, учебни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обучение в различни форми на обучение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интерактивни методи като: ситуационни (симулация, ролеви игри,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е подходящ софтуер за професионално обучение. Прилагат се интерактивни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успешно положилите изпитите по теория и по практика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 имат достатъчни умения при планиране на учебната дейност и/или не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достатъчни умения при планиране на учебната дейност, проявяват гъвкавост и творчество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придобилите професионална квалификация от качеството на 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Степен на удовлетвореност на работодателите от знанията, уменията и компетентностите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е осъществено проучване за степента на удовлетвореност на работодателите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Под 50% от анкетираните работодатели са удовлетворени от знанията, уменията и компетентностите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От 51% до 70% от анкетираните работодатели са удовлетворени от знанията, уменията и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 xml:space="preserve">Над 70% от анкетираните работодатели са удовлетворени от знанията, уменията и компетентностите на придобилите професионална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CB58B3">
          <w:footerReference w:type="default" r:id="rId10"/>
          <w:pgSz w:w="16839" w:h="11907" w:orient="landscape" w:code="9"/>
          <w:pgMar w:top="540" w:right="1134" w:bottom="810" w:left="1134" w:header="709" w:footer="709" w:gutter="0"/>
          <w:cols w:space="708"/>
          <w:noEndnote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11"/>
      <w:footerReference w:type="default" r:id="rId12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54" w:rsidRDefault="00282754" w:rsidP="0059116B">
      <w:pPr>
        <w:spacing w:after="0" w:line="240" w:lineRule="auto"/>
      </w:pPr>
      <w:r>
        <w:separator/>
      </w:r>
    </w:p>
  </w:endnote>
  <w:endnote w:type="continuationSeparator" w:id="0">
    <w:p w:rsidR="00282754" w:rsidRDefault="00282754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57680">
          <w:rPr>
            <w:rFonts w:hint="eastAsia"/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eastAsia="en-US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44813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600D6">
          <w:rPr>
            <w:rFonts w:hint="eastAsia"/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54" w:rsidRDefault="00282754" w:rsidP="0059116B">
      <w:pPr>
        <w:spacing w:after="0" w:line="240" w:lineRule="auto"/>
      </w:pPr>
      <w:r>
        <w:separator/>
      </w:r>
    </w:p>
  </w:footnote>
  <w:footnote w:type="continuationSeparator" w:id="0">
    <w:p w:rsidR="00282754" w:rsidRDefault="00282754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00F"/>
    <w:rsid w:val="000462D0"/>
    <w:rsid w:val="00055A4D"/>
    <w:rsid w:val="00057680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C14B4"/>
    <w:rsid w:val="001D4099"/>
    <w:rsid w:val="001E023A"/>
    <w:rsid w:val="001F1AFA"/>
    <w:rsid w:val="00212876"/>
    <w:rsid w:val="0021703A"/>
    <w:rsid w:val="00220C6B"/>
    <w:rsid w:val="002224D7"/>
    <w:rsid w:val="002265C7"/>
    <w:rsid w:val="00227201"/>
    <w:rsid w:val="00242347"/>
    <w:rsid w:val="00252F58"/>
    <w:rsid w:val="00266B43"/>
    <w:rsid w:val="002723BA"/>
    <w:rsid w:val="00282754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00D6"/>
    <w:rsid w:val="0056253D"/>
    <w:rsid w:val="00571A40"/>
    <w:rsid w:val="005861FD"/>
    <w:rsid w:val="0059116B"/>
    <w:rsid w:val="005B6FF2"/>
    <w:rsid w:val="005C7338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51DB"/>
    <w:rsid w:val="00786AFA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E575B"/>
    <w:rsid w:val="009F2026"/>
    <w:rsid w:val="00A0173D"/>
    <w:rsid w:val="00A13B24"/>
    <w:rsid w:val="00A17E75"/>
    <w:rsid w:val="00A20134"/>
    <w:rsid w:val="00A34C0F"/>
    <w:rsid w:val="00A405F8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002AF"/>
    <w:rsid w:val="00B217A2"/>
    <w:rsid w:val="00B3418A"/>
    <w:rsid w:val="00B4261F"/>
    <w:rsid w:val="00B43767"/>
    <w:rsid w:val="00B45765"/>
    <w:rsid w:val="00B45C5E"/>
    <w:rsid w:val="00B63643"/>
    <w:rsid w:val="00B91637"/>
    <w:rsid w:val="00B91DD0"/>
    <w:rsid w:val="00B95680"/>
    <w:rsid w:val="00BA125A"/>
    <w:rsid w:val="00BC7255"/>
    <w:rsid w:val="00BE294F"/>
    <w:rsid w:val="00BE649A"/>
    <w:rsid w:val="00BF23A0"/>
    <w:rsid w:val="00C01F65"/>
    <w:rsid w:val="00C66B73"/>
    <w:rsid w:val="00C84253"/>
    <w:rsid w:val="00C85B04"/>
    <w:rsid w:val="00CA1611"/>
    <w:rsid w:val="00CA4D11"/>
    <w:rsid w:val="00CB58B3"/>
    <w:rsid w:val="00CC2401"/>
    <w:rsid w:val="00CC29AB"/>
    <w:rsid w:val="00CE7668"/>
    <w:rsid w:val="00CE784A"/>
    <w:rsid w:val="00D01ECD"/>
    <w:rsid w:val="00D05405"/>
    <w:rsid w:val="00D445FA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2527"/>
    <w:rsid w:val="00E9230E"/>
    <w:rsid w:val="00E949F7"/>
    <w:rsid w:val="00EA5B2E"/>
    <w:rsid w:val="00EA6D2E"/>
    <w:rsid w:val="00EB4E27"/>
    <w:rsid w:val="00EC5001"/>
    <w:rsid w:val="00ED12B2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F25C6"/>
  <w15:docId w15:val="{4383545B-C0C9-473A-B49B-3303643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_svirachi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A77C-A685-46BA-865E-43B8BFC6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9002</Words>
  <Characters>51313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 Svirachi</cp:lastModifiedBy>
  <cp:revision>6</cp:revision>
  <cp:lastPrinted>2019-10-08T11:50:00Z</cp:lastPrinted>
  <dcterms:created xsi:type="dcterms:W3CDTF">2022-09-19T14:47:00Z</dcterms:created>
  <dcterms:modified xsi:type="dcterms:W3CDTF">2022-09-19T14:54:00Z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